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-2" w:leftChars="-225" w:hanging="538" w:hangingChars="192"/>
        <w:rPr>
          <w:rFonts w:ascii="仿宋" w:hAnsi="仿宋" w:eastAsia="仿宋" w:cs="Arial Unicode MS"/>
          <w:color w:val="0432FF"/>
          <w:sz w:val="28"/>
          <w:szCs w:val="38"/>
          <w:lang w:val="zh-CN"/>
        </w:rPr>
      </w:pPr>
      <w:r>
        <w:rPr>
          <w:rFonts w:hint="eastAsia" w:ascii="仿宋" w:hAnsi="仿宋" w:eastAsia="仿宋" w:cs="Arial Unicode MS"/>
          <w:color w:val="0432FF"/>
          <w:sz w:val="28"/>
          <w:szCs w:val="38"/>
          <w:lang w:val="zh-CN"/>
        </w:rPr>
        <w:t>附件1：</w:t>
      </w:r>
    </w:p>
    <w:p>
      <w:pPr>
        <w:pStyle w:val="4"/>
        <w:ind w:left="540" w:firstLine="0"/>
        <w:rPr>
          <w:rFonts w:ascii="华文中宋" w:hAnsi="华文中宋" w:eastAsia="华文中宋" w:cs="Arial Unicode MS"/>
          <w:b/>
          <w:color w:val="0432FF"/>
          <w:sz w:val="28"/>
          <w:szCs w:val="38"/>
          <w:lang w:val="zh-CN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2016年建筑企业PPP财税政策及实战案例应对交流大会</w:t>
      </w:r>
      <w:r>
        <w:rPr>
          <w:rFonts w:hint="eastAsia" w:ascii="华文中宋" w:hAnsi="华文中宋" w:eastAsia="华文中宋" w:cs="Times New Roman"/>
          <w:b/>
          <w:sz w:val="28"/>
          <w:szCs w:val="32"/>
        </w:rPr>
        <w:t>相关说明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一、PPP项目实施方案设计与案例分析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实施方案的主要内容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方案设计的关键点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3.PPP</w:t>
      </w:r>
      <w:r>
        <w:rPr>
          <w:rFonts w:hint="eastAsia" w:ascii="仿宋" w:hAnsi="仿宋" w:eastAsia="仿宋"/>
          <w:sz w:val="28"/>
          <w:szCs w:val="28"/>
        </w:rPr>
        <w:t>项目案例分析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二、PPP项目法律风险防范</w:t>
      </w:r>
    </w:p>
    <w:p>
      <w:pPr>
        <w:pStyle w:val="4"/>
        <w:ind w:firstLine="566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通过对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  <w:lang w:val="zh-CN"/>
        </w:rPr>
        <w:t>项目可行性、项目启动、项目融资、项目建设、项目运营乃至退出移交等各环节法律问题风险防范，有助于企业项目</w:t>
      </w:r>
      <w:r>
        <w:rPr>
          <w:rFonts w:hint="eastAsia" w:ascii="仿宋" w:hAnsi="仿宋" w:eastAsia="仿宋"/>
          <w:sz w:val="28"/>
          <w:szCs w:val="28"/>
        </w:rPr>
        <w:t>平稳运行。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</w:rPr>
        <w:t>项目法律风险防范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1. </w:t>
      </w:r>
      <w:r>
        <w:rPr>
          <w:rFonts w:hint="eastAsia" w:ascii="仿宋" w:hAnsi="仿宋" w:eastAsia="仿宋"/>
          <w:sz w:val="28"/>
          <w:szCs w:val="28"/>
        </w:rPr>
        <w:t>项目还款来源问题；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2. </w:t>
      </w:r>
      <w:r>
        <w:rPr>
          <w:rFonts w:hint="eastAsia" w:ascii="仿宋" w:hAnsi="仿宋" w:eastAsia="仿宋"/>
          <w:sz w:val="28"/>
          <w:szCs w:val="28"/>
        </w:rPr>
        <w:t>项目财务测算问题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3. </w:t>
      </w:r>
      <w:r>
        <w:rPr>
          <w:rFonts w:hint="eastAsia" w:ascii="仿宋" w:hAnsi="仿宋" w:eastAsia="仿宋"/>
          <w:sz w:val="28"/>
          <w:szCs w:val="28"/>
        </w:rPr>
        <w:t>政府能力问题；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4. </w:t>
      </w:r>
      <w:r>
        <w:rPr>
          <w:rFonts w:hint="eastAsia" w:ascii="仿宋" w:hAnsi="仿宋" w:eastAsia="仿宋"/>
          <w:sz w:val="28"/>
          <w:szCs w:val="28"/>
        </w:rPr>
        <w:t>项目可行性问题；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5. </w:t>
      </w:r>
      <w:r>
        <w:rPr>
          <w:rFonts w:hint="eastAsia" w:ascii="仿宋" w:hAnsi="仿宋" w:eastAsia="仿宋"/>
          <w:sz w:val="28"/>
          <w:szCs w:val="28"/>
        </w:rPr>
        <w:t>项目入库问题；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6. </w:t>
      </w:r>
      <w:r>
        <w:rPr>
          <w:rFonts w:hint="eastAsia" w:ascii="仿宋" w:hAnsi="仿宋" w:eastAsia="仿宋"/>
          <w:sz w:val="28"/>
          <w:szCs w:val="28"/>
        </w:rPr>
        <w:t>社会投资人联合体分工问题；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7. </w:t>
      </w:r>
      <w:r>
        <w:rPr>
          <w:rFonts w:hint="eastAsia" w:ascii="仿宋" w:hAnsi="仿宋" w:eastAsia="仿宋"/>
          <w:sz w:val="28"/>
          <w:szCs w:val="28"/>
        </w:rPr>
        <w:t>项目融资设计问题；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8. </w:t>
      </w:r>
      <w:r>
        <w:rPr>
          <w:rFonts w:hint="eastAsia" w:ascii="仿宋" w:hAnsi="仿宋" w:eastAsia="仿宋"/>
          <w:sz w:val="28"/>
          <w:szCs w:val="28"/>
        </w:rPr>
        <w:t>前期工作及政府配套支持问题；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9. </w:t>
      </w:r>
      <w:r>
        <w:rPr>
          <w:rFonts w:hint="eastAsia" w:ascii="仿宋" w:hAnsi="仿宋" w:eastAsia="仿宋"/>
          <w:sz w:val="28"/>
          <w:szCs w:val="28"/>
        </w:rPr>
        <w:t>项目实施主体问题；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10. </w:t>
      </w:r>
      <w:r>
        <w:rPr>
          <w:rFonts w:hint="eastAsia" w:ascii="仿宋" w:hAnsi="仿宋" w:eastAsia="仿宋"/>
          <w:sz w:val="28"/>
          <w:szCs w:val="28"/>
        </w:rPr>
        <w:t>项目采购方式问题；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11. </w:t>
      </w:r>
      <w:r>
        <w:rPr>
          <w:rFonts w:hint="eastAsia" w:ascii="仿宋" w:hAnsi="仿宋" w:eastAsia="仿宋"/>
          <w:sz w:val="28"/>
          <w:szCs w:val="28"/>
        </w:rPr>
        <w:t>项目超额利润分配问题；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12. </w:t>
      </w:r>
      <w:r>
        <w:rPr>
          <w:rFonts w:hint="eastAsia" w:ascii="仿宋" w:hAnsi="仿宋" w:eastAsia="仿宋"/>
          <w:sz w:val="28"/>
          <w:szCs w:val="28"/>
        </w:rPr>
        <w:t>项目概算超支问题；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13. </w:t>
      </w:r>
      <w:r>
        <w:rPr>
          <w:rFonts w:hint="eastAsia" w:ascii="仿宋" w:hAnsi="仿宋" w:eastAsia="仿宋"/>
          <w:sz w:val="28"/>
          <w:szCs w:val="28"/>
        </w:rPr>
        <w:t>项目缺口补贴问题；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14. </w:t>
      </w:r>
      <w:r>
        <w:rPr>
          <w:rFonts w:hint="eastAsia" w:ascii="仿宋" w:hAnsi="仿宋" w:eastAsia="仿宋"/>
          <w:sz w:val="28"/>
          <w:szCs w:val="28"/>
        </w:rPr>
        <w:t>项目公司治理结构问题；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15. </w:t>
      </w:r>
      <w:r>
        <w:rPr>
          <w:rFonts w:hint="eastAsia" w:ascii="仿宋" w:hAnsi="仿宋" w:eastAsia="仿宋"/>
          <w:sz w:val="28"/>
          <w:szCs w:val="28"/>
        </w:rPr>
        <w:t>特许经营权质押问题；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16. </w:t>
      </w:r>
      <w:r>
        <w:rPr>
          <w:rFonts w:hint="eastAsia" w:ascii="仿宋" w:hAnsi="仿宋" w:eastAsia="仿宋"/>
          <w:sz w:val="28"/>
          <w:szCs w:val="28"/>
        </w:rPr>
        <w:t>项目风险分配问题；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17. </w:t>
      </w:r>
      <w:r>
        <w:rPr>
          <w:rFonts w:hint="eastAsia" w:ascii="仿宋" w:hAnsi="仿宋" w:eastAsia="仿宋"/>
          <w:sz w:val="28"/>
          <w:szCs w:val="28"/>
        </w:rPr>
        <w:t>政府职能部门协调配合问题；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18. </w:t>
      </w:r>
      <w:r>
        <w:rPr>
          <w:rFonts w:hint="eastAsia" w:ascii="仿宋" w:hAnsi="仿宋" w:eastAsia="仿宋"/>
          <w:sz w:val="28"/>
          <w:szCs w:val="28"/>
        </w:rPr>
        <w:t>社会投资人退出机制问题。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</w:rPr>
        <w:t>项目合同策划与设计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 PPP</w:t>
      </w:r>
      <w:r>
        <w:rPr>
          <w:rFonts w:hint="eastAsia" w:ascii="仿宋" w:hAnsi="仿宋" w:eastAsia="仿宋"/>
          <w:sz w:val="28"/>
          <w:szCs w:val="28"/>
        </w:rPr>
        <w:t>项目合同体系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 PPP</w:t>
      </w:r>
      <w:r>
        <w:rPr>
          <w:rFonts w:hint="eastAsia" w:ascii="仿宋" w:hAnsi="仿宋" w:eastAsia="仿宋"/>
          <w:sz w:val="28"/>
          <w:szCs w:val="28"/>
        </w:rPr>
        <w:t>项目合同策划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 PPP</w:t>
      </w:r>
      <w:r>
        <w:rPr>
          <w:rFonts w:hint="eastAsia" w:ascii="仿宋" w:hAnsi="仿宋" w:eastAsia="仿宋"/>
          <w:sz w:val="28"/>
          <w:szCs w:val="28"/>
        </w:rPr>
        <w:t>项目合同核心条款设计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三、PPP财务政策解读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以企业会计准则解释第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号为基础深度解析：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建成后形成资产的判断方法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建造后形成资产后的后续摊销计量等内容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四、PPP项目各阶段税务管理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1.PPP</w:t>
      </w:r>
      <w:r>
        <w:rPr>
          <w:rFonts w:hint="eastAsia" w:ascii="仿宋" w:hAnsi="仿宋" w:eastAsia="仿宋"/>
          <w:sz w:val="28"/>
          <w:szCs w:val="28"/>
        </w:rPr>
        <w:t>项目的典型架构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2.PPP</w:t>
      </w:r>
      <w:r>
        <w:rPr>
          <w:rFonts w:hint="eastAsia" w:ascii="仿宋" w:hAnsi="仿宋" w:eastAsia="仿宋"/>
          <w:sz w:val="28"/>
          <w:szCs w:val="28"/>
        </w:rPr>
        <w:t>项目各阶段税务管理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招投标阶段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商业谈判阶段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建设阶段</w:t>
      </w:r>
    </w:p>
    <w:p>
      <w:pPr>
        <w:pStyle w:val="4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运营阶段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五、PPP的资产证券化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六、PPP项目财税实务分享</w:t>
      </w:r>
    </w:p>
    <w:p>
      <w:pPr>
        <w:pStyle w:val="5"/>
        <w:ind w:firstLine="567"/>
        <w:rPr>
          <w:rFonts w:hint="default" w:ascii="仿宋" w:hAnsi="仿宋" w:eastAsia="仿宋" w:cs="宋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企业同仁将对已经实践的项目在执行过程中财务、税务的处理进行经验的分享，对政策规定不明晰的提出处理的建议和思路，便于后来执行项目的企业受益，少走弯路。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七、PPP财税政策研讨</w:t>
      </w:r>
    </w:p>
    <w:p>
      <w:pPr>
        <w:pStyle w:val="5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八、专题研讨（10月22日晚）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23E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  <w:style w:type="paragraph" w:customStyle="1" w:styleId="5">
    <w:name w:val="自由格式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2016-10-10T07:27:47Z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