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cs="华文楷体" w:asciiTheme="minorEastAsia" w:hAnsiTheme="minorEastAsia"/>
          <w:szCs w:val="21"/>
        </w:rPr>
      </w:pPr>
      <w:r>
        <w:rPr>
          <w:rFonts w:cs="华文楷体" w:asciiTheme="minorEastAsia" w:hAnsiTheme="minorEastAsia"/>
          <w:szCs w:val="21"/>
        </w:rPr>
        <w:t> </w:t>
      </w:r>
      <w:r>
        <w:rPr>
          <w:rFonts w:hint="eastAsia" w:cs="华文楷体" w:asciiTheme="minorEastAsia" w:hAnsiTheme="minorEastAsia"/>
          <w:szCs w:val="21"/>
        </w:rPr>
        <w:t>附件1：</w:t>
      </w:r>
    </w:p>
    <w:p>
      <w:pPr>
        <w:spacing w:line="560" w:lineRule="exact"/>
        <w:jc w:val="center"/>
        <w:rPr>
          <w:rFonts w:cs="华文楷体" w:asciiTheme="minorEastAsia" w:hAnsiTheme="minorEastAsia"/>
          <w:b/>
          <w:sz w:val="28"/>
          <w:szCs w:val="21"/>
        </w:rPr>
      </w:pPr>
      <w:r>
        <w:rPr>
          <w:rFonts w:hint="eastAsia" w:cs="华文楷体" w:asciiTheme="minorEastAsia" w:hAnsiTheme="minorEastAsia"/>
          <w:b/>
          <w:sz w:val="28"/>
          <w:szCs w:val="21"/>
        </w:rPr>
        <w:t>建筑业纳税风险管控及税务稽查实务应对大会相关说明</w:t>
      </w:r>
    </w:p>
    <w:p>
      <w:pPr>
        <w:pStyle w:val="33"/>
        <w:ind w:firstLine="567"/>
        <w:rPr>
          <w:rFonts w:hint="default" w:ascii="仿宋" w:hAnsi="仿宋" w:eastAsia="仿宋"/>
          <w:sz w:val="28"/>
          <w:szCs w:val="28"/>
        </w:rPr>
      </w:pPr>
    </w:p>
    <w:p>
      <w:pPr>
        <w:pStyle w:val="33"/>
        <w:ind w:firstLine="567"/>
        <w:rPr>
          <w:rFonts w:hint="default" w:ascii="仿宋" w:hAnsi="仿宋" w:eastAsia="仿宋"/>
          <w:b/>
          <w:sz w:val="28"/>
          <w:szCs w:val="28"/>
        </w:rPr>
      </w:pPr>
      <w:r>
        <w:rPr>
          <w:rFonts w:ascii="仿宋" w:hAnsi="仿宋" w:eastAsia="仿宋"/>
          <w:b/>
          <w:sz w:val="28"/>
          <w:szCs w:val="28"/>
        </w:rPr>
        <w:t>一、税务稽查与企业应对策略暨税务争议解决技巧</w:t>
      </w:r>
    </w:p>
    <w:p>
      <w:pPr>
        <w:pStyle w:val="33"/>
        <w:ind w:firstLine="567"/>
        <w:rPr>
          <w:rFonts w:hint="default"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1.税务稽查形势分析</w:t>
      </w:r>
    </w:p>
    <w:p>
      <w:pPr>
        <w:pStyle w:val="33"/>
        <w:ind w:firstLine="567"/>
        <w:rPr>
          <w:rFonts w:hint="default"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2.税务稽查的流程与方法</w:t>
      </w:r>
    </w:p>
    <w:p>
      <w:pPr>
        <w:pStyle w:val="33"/>
        <w:ind w:firstLine="567"/>
        <w:rPr>
          <w:rFonts w:hint="default"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3.税务稽查结论分析与稽查应对</w:t>
      </w:r>
    </w:p>
    <w:p>
      <w:pPr>
        <w:pStyle w:val="33"/>
        <w:ind w:firstLine="567"/>
        <w:rPr>
          <w:rFonts w:hint="default" w:ascii="仿宋" w:hAnsi="仿宋" w:eastAsia="仿宋"/>
          <w:b/>
          <w:sz w:val="28"/>
          <w:szCs w:val="28"/>
        </w:rPr>
      </w:pPr>
      <w:r>
        <w:rPr>
          <w:rFonts w:ascii="仿宋" w:hAnsi="仿宋" w:eastAsia="仿宋"/>
          <w:b/>
          <w:sz w:val="28"/>
          <w:szCs w:val="28"/>
        </w:rPr>
        <w:t>二、建筑企业常见经济事项税务风险自查分析与应对</w:t>
      </w:r>
    </w:p>
    <w:p>
      <w:pPr>
        <w:pStyle w:val="33"/>
        <w:ind w:firstLine="567"/>
        <w:rPr>
          <w:rFonts w:hint="default"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1.税收自查</w:t>
      </w:r>
    </w:p>
    <w:p>
      <w:pPr>
        <w:pStyle w:val="33"/>
        <w:ind w:firstLine="567"/>
        <w:rPr>
          <w:rFonts w:hint="default"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2.常见税种潜在税务风险分析及主要检查方法（营业税、企业所得税、个人所得税、增值税、印花税、房产税、资源税、耕地占用税、城镇土地使用税）</w:t>
      </w:r>
    </w:p>
    <w:p>
      <w:pPr>
        <w:pStyle w:val="33"/>
        <w:ind w:firstLine="567"/>
        <w:rPr>
          <w:rFonts w:hint="default" w:ascii="仿宋" w:hAnsi="仿宋" w:eastAsia="仿宋"/>
          <w:b/>
          <w:sz w:val="28"/>
          <w:szCs w:val="28"/>
        </w:rPr>
      </w:pPr>
      <w:r>
        <w:rPr>
          <w:rFonts w:ascii="仿宋" w:hAnsi="仿宋" w:eastAsia="仿宋"/>
          <w:b/>
          <w:sz w:val="28"/>
          <w:szCs w:val="28"/>
        </w:rPr>
        <w:t>三、纳税信用评价体系对企业的影响</w:t>
      </w:r>
    </w:p>
    <w:p>
      <w:pPr>
        <w:pStyle w:val="33"/>
        <w:ind w:firstLine="567"/>
        <w:rPr>
          <w:rFonts w:hint="default"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1.分析当下纳税信用评级体系对企业考核的细目</w:t>
      </w:r>
    </w:p>
    <w:p>
      <w:pPr>
        <w:pStyle w:val="33"/>
        <w:ind w:firstLine="567"/>
        <w:rPr>
          <w:rFonts w:hint="default"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2.分析企业在日常税务工作中应该关注的问题，帮助企业提高信用等级</w:t>
      </w:r>
    </w:p>
    <w:p>
      <w:pPr>
        <w:pStyle w:val="33"/>
        <w:ind w:firstLine="567"/>
        <w:rPr>
          <w:rFonts w:hint="default" w:ascii="仿宋" w:hAnsi="仿宋" w:eastAsia="仿宋"/>
          <w:b/>
          <w:sz w:val="28"/>
          <w:szCs w:val="28"/>
        </w:rPr>
      </w:pPr>
      <w:r>
        <w:rPr>
          <w:rFonts w:ascii="仿宋" w:hAnsi="仿宋" w:eastAsia="仿宋"/>
          <w:b/>
          <w:sz w:val="28"/>
          <w:szCs w:val="28"/>
        </w:rPr>
        <w:t>四、建筑企业纳税自查实务流程管控体系建立</w:t>
      </w:r>
    </w:p>
    <w:p>
      <w:pPr>
        <w:pStyle w:val="33"/>
        <w:ind w:firstLine="567"/>
        <w:rPr>
          <w:rFonts w:hint="default"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企业分享：应对各税种风险，做好纳税自查进行流程管控体系建立的案例</w:t>
      </w:r>
    </w:p>
    <w:p>
      <w:pPr>
        <w:pStyle w:val="33"/>
        <w:ind w:firstLine="567"/>
        <w:rPr>
          <w:rFonts w:hint="default" w:ascii="仿宋" w:hAnsi="仿宋" w:eastAsia="仿宋"/>
          <w:b/>
          <w:sz w:val="28"/>
          <w:szCs w:val="28"/>
        </w:rPr>
      </w:pPr>
      <w:r>
        <w:rPr>
          <w:rFonts w:ascii="仿宋" w:hAnsi="仿宋" w:eastAsia="仿宋"/>
          <w:b/>
          <w:sz w:val="28"/>
          <w:szCs w:val="28"/>
        </w:rPr>
        <w:t>五、税务稽查重难点剖析及企业关注事项</w:t>
      </w:r>
    </w:p>
    <w:p>
      <w:pPr>
        <w:pStyle w:val="33"/>
        <w:ind w:firstLine="567"/>
        <w:rPr>
          <w:rFonts w:hint="default"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1.税务稽查基本方法</w:t>
      </w:r>
    </w:p>
    <w:p>
      <w:pPr>
        <w:pStyle w:val="33"/>
        <w:ind w:firstLine="567"/>
        <w:rPr>
          <w:rFonts w:hint="default"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2.稽查案例分析</w:t>
      </w:r>
    </w:p>
    <w:p>
      <w:pPr>
        <w:pStyle w:val="33"/>
        <w:ind w:firstLine="567"/>
        <w:rPr>
          <w:rFonts w:hint="default"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3.税务稽查证据搜集与固定概述</w:t>
      </w:r>
    </w:p>
    <w:p>
      <w:pPr>
        <w:pStyle w:val="33"/>
        <w:ind w:firstLine="567"/>
        <w:rPr>
          <w:rFonts w:hint="default"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4. 企业如何配合税务机关进行稽查</w:t>
      </w:r>
    </w:p>
    <w:p>
      <w:pPr>
        <w:pStyle w:val="33"/>
        <w:ind w:firstLine="567"/>
        <w:rPr>
          <w:rFonts w:hint="default" w:ascii="仿宋" w:hAnsi="仿宋" w:eastAsia="仿宋"/>
          <w:b/>
          <w:sz w:val="28"/>
          <w:szCs w:val="28"/>
        </w:rPr>
      </w:pPr>
      <w:r>
        <w:rPr>
          <w:rFonts w:ascii="仿宋" w:hAnsi="仿宋" w:eastAsia="仿宋"/>
          <w:b/>
          <w:sz w:val="28"/>
          <w:szCs w:val="28"/>
        </w:rPr>
        <w:t>六、被稽查企业的诉求表达与权益救济</w:t>
      </w:r>
    </w:p>
    <w:p>
      <w:pPr>
        <w:pStyle w:val="33"/>
        <w:ind w:firstLine="567"/>
        <w:rPr>
          <w:rFonts w:hint="default"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1.被稽查企业享有权利与负有义务</w:t>
      </w:r>
    </w:p>
    <w:p>
      <w:pPr>
        <w:pStyle w:val="33"/>
        <w:ind w:firstLine="567"/>
        <w:rPr>
          <w:rFonts w:hint="default"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2.如何查找侵权问题，分析原因，完善措施</w:t>
      </w:r>
    </w:p>
    <w:p>
      <w:pPr>
        <w:pStyle w:val="33"/>
        <w:ind w:firstLine="567"/>
        <w:rPr>
          <w:rFonts w:hint="default"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3.被稽查企业合法权益维护与救济途径</w:t>
      </w:r>
    </w:p>
    <w:p>
      <w:pPr>
        <w:pStyle w:val="33"/>
        <w:ind w:firstLine="567"/>
        <w:rPr>
          <w:rFonts w:hint="default" w:ascii="仿宋" w:hAnsi="仿宋" w:eastAsia="仿宋"/>
          <w:b/>
          <w:sz w:val="28"/>
          <w:szCs w:val="28"/>
        </w:rPr>
      </w:pPr>
      <w:r>
        <w:rPr>
          <w:rFonts w:ascii="仿宋" w:hAnsi="仿宋" w:eastAsia="仿宋"/>
          <w:b/>
          <w:sz w:val="28"/>
          <w:szCs w:val="28"/>
        </w:rPr>
        <w:t>七、纳税信用等级评定及风险</w:t>
      </w:r>
    </w:p>
    <w:p>
      <w:pPr>
        <w:pStyle w:val="33"/>
        <w:ind w:firstLine="567"/>
        <w:rPr>
          <w:rFonts w:hint="default"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1.纳税信用等级评定标准</w:t>
      </w:r>
    </w:p>
    <w:p>
      <w:pPr>
        <w:pStyle w:val="33"/>
        <w:ind w:firstLine="567"/>
        <w:rPr>
          <w:rFonts w:hint="default"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2.企业哪些行为影响纳税信用等级</w:t>
      </w:r>
    </w:p>
    <w:p>
      <w:pPr>
        <w:pStyle w:val="33"/>
        <w:ind w:firstLine="567"/>
        <w:rPr>
          <w:rFonts w:cs="华文楷体" w:asciiTheme="minorEastAsia" w:hAnsiTheme="minorEastAsia"/>
          <w:szCs w:val="21"/>
        </w:rPr>
      </w:pPr>
      <w:r>
        <w:rPr>
          <w:rFonts w:ascii="仿宋" w:hAnsi="仿宋" w:eastAsia="仿宋"/>
          <w:sz w:val="28"/>
          <w:szCs w:val="28"/>
        </w:rPr>
        <w:t>3.纳税信用等级变动存在哪些风险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华文中宋.">
    <w:altName w:val="华文中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Baskerville">
    <w:altName w:val="Times New Roman"/>
    <w:panose1 w:val="00000000000000000000"/>
    <w:charset w:val="00"/>
    <w:family w:val="auto"/>
    <w:pitch w:val="default"/>
    <w:sig w:usb0="00000000" w:usb1="00000000" w:usb2="00000000" w:usb3="00000000" w:csb0="0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7EE2"/>
    <w:rsid w:val="00020FED"/>
    <w:rsid w:val="00025B1F"/>
    <w:rsid w:val="00044256"/>
    <w:rsid w:val="0004739D"/>
    <w:rsid w:val="00051163"/>
    <w:rsid w:val="00057B97"/>
    <w:rsid w:val="000627E8"/>
    <w:rsid w:val="00065B42"/>
    <w:rsid w:val="000839CE"/>
    <w:rsid w:val="000F32E5"/>
    <w:rsid w:val="000F689F"/>
    <w:rsid w:val="001011EF"/>
    <w:rsid w:val="00116DBB"/>
    <w:rsid w:val="001171B3"/>
    <w:rsid w:val="00146D37"/>
    <w:rsid w:val="00156090"/>
    <w:rsid w:val="0015691E"/>
    <w:rsid w:val="0016010C"/>
    <w:rsid w:val="00171072"/>
    <w:rsid w:val="001967A5"/>
    <w:rsid w:val="001A4835"/>
    <w:rsid w:val="001B3F8E"/>
    <w:rsid w:val="001C2B7C"/>
    <w:rsid w:val="001C5668"/>
    <w:rsid w:val="001E557F"/>
    <w:rsid w:val="001F0D2C"/>
    <w:rsid w:val="001F7A60"/>
    <w:rsid w:val="001F7DF6"/>
    <w:rsid w:val="00216696"/>
    <w:rsid w:val="002254C2"/>
    <w:rsid w:val="00227DAF"/>
    <w:rsid w:val="00250ABD"/>
    <w:rsid w:val="00252B6F"/>
    <w:rsid w:val="00256C15"/>
    <w:rsid w:val="00260FA4"/>
    <w:rsid w:val="002706FC"/>
    <w:rsid w:val="00271F07"/>
    <w:rsid w:val="00274203"/>
    <w:rsid w:val="00280FA4"/>
    <w:rsid w:val="002818E3"/>
    <w:rsid w:val="00282BA2"/>
    <w:rsid w:val="002A1BBA"/>
    <w:rsid w:val="002A1E4D"/>
    <w:rsid w:val="002A398A"/>
    <w:rsid w:val="002B6B51"/>
    <w:rsid w:val="002B727E"/>
    <w:rsid w:val="002B7B23"/>
    <w:rsid w:val="002C0DA0"/>
    <w:rsid w:val="002C27E1"/>
    <w:rsid w:val="002E6A95"/>
    <w:rsid w:val="002F4975"/>
    <w:rsid w:val="00302E9C"/>
    <w:rsid w:val="00312D76"/>
    <w:rsid w:val="00316B53"/>
    <w:rsid w:val="00324B57"/>
    <w:rsid w:val="00332B06"/>
    <w:rsid w:val="00346DE0"/>
    <w:rsid w:val="00347FDD"/>
    <w:rsid w:val="00351D38"/>
    <w:rsid w:val="00356657"/>
    <w:rsid w:val="003578CB"/>
    <w:rsid w:val="00367453"/>
    <w:rsid w:val="00374229"/>
    <w:rsid w:val="00385D04"/>
    <w:rsid w:val="00395962"/>
    <w:rsid w:val="003A2D7F"/>
    <w:rsid w:val="003B28B3"/>
    <w:rsid w:val="003B313A"/>
    <w:rsid w:val="003C5F72"/>
    <w:rsid w:val="003E39A5"/>
    <w:rsid w:val="003E4F61"/>
    <w:rsid w:val="003F2070"/>
    <w:rsid w:val="003F3979"/>
    <w:rsid w:val="004037A5"/>
    <w:rsid w:val="00404A09"/>
    <w:rsid w:val="0041249B"/>
    <w:rsid w:val="00415B92"/>
    <w:rsid w:val="004318F2"/>
    <w:rsid w:val="00433F5B"/>
    <w:rsid w:val="00437DEC"/>
    <w:rsid w:val="00450526"/>
    <w:rsid w:val="00454D50"/>
    <w:rsid w:val="00457A99"/>
    <w:rsid w:val="00461EF3"/>
    <w:rsid w:val="004646E7"/>
    <w:rsid w:val="004672D1"/>
    <w:rsid w:val="00471B39"/>
    <w:rsid w:val="0048185D"/>
    <w:rsid w:val="00492E9D"/>
    <w:rsid w:val="00497839"/>
    <w:rsid w:val="004A3C35"/>
    <w:rsid w:val="004B047B"/>
    <w:rsid w:val="004B2842"/>
    <w:rsid w:val="004E2888"/>
    <w:rsid w:val="004E289D"/>
    <w:rsid w:val="004E4776"/>
    <w:rsid w:val="004F2490"/>
    <w:rsid w:val="004F2EA0"/>
    <w:rsid w:val="004F4CA1"/>
    <w:rsid w:val="004F57D0"/>
    <w:rsid w:val="005012E6"/>
    <w:rsid w:val="0050778F"/>
    <w:rsid w:val="00507FF0"/>
    <w:rsid w:val="00510C09"/>
    <w:rsid w:val="005225AC"/>
    <w:rsid w:val="00536229"/>
    <w:rsid w:val="00562232"/>
    <w:rsid w:val="00570BCE"/>
    <w:rsid w:val="005803E2"/>
    <w:rsid w:val="005928F5"/>
    <w:rsid w:val="00597CFB"/>
    <w:rsid w:val="00597F21"/>
    <w:rsid w:val="005A24B7"/>
    <w:rsid w:val="005A6460"/>
    <w:rsid w:val="005D14CD"/>
    <w:rsid w:val="005D2052"/>
    <w:rsid w:val="005E29D7"/>
    <w:rsid w:val="005E3788"/>
    <w:rsid w:val="005F5553"/>
    <w:rsid w:val="006225EC"/>
    <w:rsid w:val="00622DFF"/>
    <w:rsid w:val="00624D9D"/>
    <w:rsid w:val="0063561B"/>
    <w:rsid w:val="006429F7"/>
    <w:rsid w:val="006467E3"/>
    <w:rsid w:val="00650577"/>
    <w:rsid w:val="00656F0E"/>
    <w:rsid w:val="006637ED"/>
    <w:rsid w:val="00683AE4"/>
    <w:rsid w:val="00693ECB"/>
    <w:rsid w:val="00696FC3"/>
    <w:rsid w:val="006A76A9"/>
    <w:rsid w:val="006B7EA4"/>
    <w:rsid w:val="006C28D8"/>
    <w:rsid w:val="006C6C7B"/>
    <w:rsid w:val="006D108B"/>
    <w:rsid w:val="006D2990"/>
    <w:rsid w:val="00712DD1"/>
    <w:rsid w:val="0071416F"/>
    <w:rsid w:val="007334B2"/>
    <w:rsid w:val="00750CB2"/>
    <w:rsid w:val="00755B12"/>
    <w:rsid w:val="00770AF0"/>
    <w:rsid w:val="0077561E"/>
    <w:rsid w:val="00776DFC"/>
    <w:rsid w:val="00782BB0"/>
    <w:rsid w:val="007917AC"/>
    <w:rsid w:val="007935A6"/>
    <w:rsid w:val="00796BAB"/>
    <w:rsid w:val="007A1360"/>
    <w:rsid w:val="007B523F"/>
    <w:rsid w:val="007B7BC9"/>
    <w:rsid w:val="007C507A"/>
    <w:rsid w:val="007D0EF7"/>
    <w:rsid w:val="007D5725"/>
    <w:rsid w:val="007E52DF"/>
    <w:rsid w:val="007F0565"/>
    <w:rsid w:val="007F1DF1"/>
    <w:rsid w:val="007F4710"/>
    <w:rsid w:val="007F4A34"/>
    <w:rsid w:val="00814A7A"/>
    <w:rsid w:val="00830D84"/>
    <w:rsid w:val="00841DD1"/>
    <w:rsid w:val="00843438"/>
    <w:rsid w:val="0085648F"/>
    <w:rsid w:val="00880B11"/>
    <w:rsid w:val="00893643"/>
    <w:rsid w:val="008A2FB5"/>
    <w:rsid w:val="008B05B1"/>
    <w:rsid w:val="008C641A"/>
    <w:rsid w:val="008C784E"/>
    <w:rsid w:val="008E31B4"/>
    <w:rsid w:val="008E3F78"/>
    <w:rsid w:val="008F1F70"/>
    <w:rsid w:val="008F3D16"/>
    <w:rsid w:val="009203E3"/>
    <w:rsid w:val="00934213"/>
    <w:rsid w:val="0094182E"/>
    <w:rsid w:val="00942D3A"/>
    <w:rsid w:val="0094714E"/>
    <w:rsid w:val="009611C8"/>
    <w:rsid w:val="00973AAC"/>
    <w:rsid w:val="00996BE9"/>
    <w:rsid w:val="00997941"/>
    <w:rsid w:val="009B4092"/>
    <w:rsid w:val="009B57F6"/>
    <w:rsid w:val="009D06FA"/>
    <w:rsid w:val="009F13B9"/>
    <w:rsid w:val="009F504A"/>
    <w:rsid w:val="009F7664"/>
    <w:rsid w:val="00A24817"/>
    <w:rsid w:val="00A41C20"/>
    <w:rsid w:val="00A50776"/>
    <w:rsid w:val="00A6068F"/>
    <w:rsid w:val="00A61B3C"/>
    <w:rsid w:val="00A62644"/>
    <w:rsid w:val="00A643A7"/>
    <w:rsid w:val="00A67761"/>
    <w:rsid w:val="00A754C6"/>
    <w:rsid w:val="00A805D7"/>
    <w:rsid w:val="00A87F98"/>
    <w:rsid w:val="00A9591A"/>
    <w:rsid w:val="00AA01FC"/>
    <w:rsid w:val="00AD551C"/>
    <w:rsid w:val="00AD79D3"/>
    <w:rsid w:val="00AD7EE2"/>
    <w:rsid w:val="00AE466F"/>
    <w:rsid w:val="00AF08AE"/>
    <w:rsid w:val="00AF1DDF"/>
    <w:rsid w:val="00B035D4"/>
    <w:rsid w:val="00B05666"/>
    <w:rsid w:val="00B11201"/>
    <w:rsid w:val="00B3046A"/>
    <w:rsid w:val="00B4597A"/>
    <w:rsid w:val="00B50634"/>
    <w:rsid w:val="00B50921"/>
    <w:rsid w:val="00B60A56"/>
    <w:rsid w:val="00B61735"/>
    <w:rsid w:val="00B70583"/>
    <w:rsid w:val="00B7276A"/>
    <w:rsid w:val="00B902A5"/>
    <w:rsid w:val="00B90719"/>
    <w:rsid w:val="00BC1413"/>
    <w:rsid w:val="00BC28A6"/>
    <w:rsid w:val="00BC67D4"/>
    <w:rsid w:val="00BD15B0"/>
    <w:rsid w:val="00BD728B"/>
    <w:rsid w:val="00BE42B8"/>
    <w:rsid w:val="00BF439B"/>
    <w:rsid w:val="00BF6109"/>
    <w:rsid w:val="00C01114"/>
    <w:rsid w:val="00C03BC1"/>
    <w:rsid w:val="00C05162"/>
    <w:rsid w:val="00C12F99"/>
    <w:rsid w:val="00C1506E"/>
    <w:rsid w:val="00C307DD"/>
    <w:rsid w:val="00C36B32"/>
    <w:rsid w:val="00C408F4"/>
    <w:rsid w:val="00C42441"/>
    <w:rsid w:val="00C5197B"/>
    <w:rsid w:val="00C5322F"/>
    <w:rsid w:val="00C61667"/>
    <w:rsid w:val="00C803B5"/>
    <w:rsid w:val="00CA575F"/>
    <w:rsid w:val="00CA5CB4"/>
    <w:rsid w:val="00CB089F"/>
    <w:rsid w:val="00CC006D"/>
    <w:rsid w:val="00CC12DB"/>
    <w:rsid w:val="00CC30E2"/>
    <w:rsid w:val="00CC5F48"/>
    <w:rsid w:val="00CD1B84"/>
    <w:rsid w:val="00CE70D3"/>
    <w:rsid w:val="00CF3C94"/>
    <w:rsid w:val="00D01289"/>
    <w:rsid w:val="00D10956"/>
    <w:rsid w:val="00D1324F"/>
    <w:rsid w:val="00D14066"/>
    <w:rsid w:val="00D2617E"/>
    <w:rsid w:val="00D4221A"/>
    <w:rsid w:val="00D54F9B"/>
    <w:rsid w:val="00D55845"/>
    <w:rsid w:val="00D568AC"/>
    <w:rsid w:val="00D57ECF"/>
    <w:rsid w:val="00D9392F"/>
    <w:rsid w:val="00D93C7E"/>
    <w:rsid w:val="00D95842"/>
    <w:rsid w:val="00DA0EEC"/>
    <w:rsid w:val="00DA1403"/>
    <w:rsid w:val="00DA2572"/>
    <w:rsid w:val="00DA6C45"/>
    <w:rsid w:val="00DB0EC1"/>
    <w:rsid w:val="00DB46D0"/>
    <w:rsid w:val="00DC1B82"/>
    <w:rsid w:val="00DD49B7"/>
    <w:rsid w:val="00DE4070"/>
    <w:rsid w:val="00DF5F1D"/>
    <w:rsid w:val="00E130C0"/>
    <w:rsid w:val="00E206BB"/>
    <w:rsid w:val="00E56875"/>
    <w:rsid w:val="00E57E05"/>
    <w:rsid w:val="00E6755B"/>
    <w:rsid w:val="00E70C94"/>
    <w:rsid w:val="00E72434"/>
    <w:rsid w:val="00E73C30"/>
    <w:rsid w:val="00E77E04"/>
    <w:rsid w:val="00E84FB4"/>
    <w:rsid w:val="00E86B52"/>
    <w:rsid w:val="00E93D9E"/>
    <w:rsid w:val="00EA2381"/>
    <w:rsid w:val="00EA2C6B"/>
    <w:rsid w:val="00EB0221"/>
    <w:rsid w:val="00ED1F86"/>
    <w:rsid w:val="00ED3617"/>
    <w:rsid w:val="00EE7D46"/>
    <w:rsid w:val="00F06123"/>
    <w:rsid w:val="00F07CFE"/>
    <w:rsid w:val="00F13C58"/>
    <w:rsid w:val="00F14744"/>
    <w:rsid w:val="00F150D1"/>
    <w:rsid w:val="00F200B9"/>
    <w:rsid w:val="00F22B2E"/>
    <w:rsid w:val="00F27A2B"/>
    <w:rsid w:val="00F40860"/>
    <w:rsid w:val="00F4095F"/>
    <w:rsid w:val="00F56DFB"/>
    <w:rsid w:val="00F6466A"/>
    <w:rsid w:val="00F64E68"/>
    <w:rsid w:val="00F72E48"/>
    <w:rsid w:val="00F773B4"/>
    <w:rsid w:val="00F8582A"/>
    <w:rsid w:val="00F92F46"/>
    <w:rsid w:val="00F96CC5"/>
    <w:rsid w:val="00FA00C6"/>
    <w:rsid w:val="00FB4D66"/>
    <w:rsid w:val="00FD4D54"/>
    <w:rsid w:val="00FE66A0"/>
    <w:rsid w:val="00FE7F25"/>
    <w:rsid w:val="00FF6199"/>
    <w:rsid w:val="024F2009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8"/>
    <w:qFormat/>
    <w:uiPriority w:val="9"/>
    <w:pPr>
      <w:keepNext/>
      <w:keepLines/>
      <w:spacing w:after="100" w:afterAutospacing="1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4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9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30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4">
    <w:name w:val="Default Paragraph Font"/>
    <w:unhideWhenUsed/>
    <w:uiPriority w:val="1"/>
  </w:style>
  <w:style w:type="table" w:default="1" w:styleId="17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subject"/>
    <w:basedOn w:val="7"/>
    <w:next w:val="7"/>
    <w:link w:val="20"/>
    <w:unhideWhenUsed/>
    <w:uiPriority w:val="99"/>
    <w:rPr>
      <w:b/>
      <w:bCs/>
    </w:rPr>
  </w:style>
  <w:style w:type="paragraph" w:styleId="7">
    <w:name w:val="annotation text"/>
    <w:basedOn w:val="1"/>
    <w:link w:val="19"/>
    <w:unhideWhenUsed/>
    <w:qFormat/>
    <w:uiPriority w:val="99"/>
    <w:pPr>
      <w:jc w:val="left"/>
    </w:pPr>
  </w:style>
  <w:style w:type="paragraph" w:styleId="8">
    <w:name w:val="Balloon Text"/>
    <w:basedOn w:val="1"/>
    <w:link w:val="21"/>
    <w:unhideWhenUsed/>
    <w:uiPriority w:val="99"/>
    <w:rPr>
      <w:sz w:val="18"/>
      <w:szCs w:val="18"/>
    </w:rPr>
  </w:style>
  <w:style w:type="paragraph" w:styleId="9">
    <w:name w:val="footer"/>
    <w:basedOn w:val="1"/>
    <w:link w:val="2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Subtitle"/>
    <w:next w:val="1"/>
    <w:link w:val="3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center"/>
    </w:pPr>
    <w:rPr>
      <w:rFonts w:hint="eastAsia" w:ascii="Arial Unicode MS" w:hAnsi="Arial Unicode MS" w:eastAsia="Baskerville" w:cs="Arial Unicode MS"/>
      <w:color w:val="DC5921"/>
      <w:spacing w:val="6"/>
      <w:kern w:val="0"/>
      <w:sz w:val="64"/>
      <w:szCs w:val="64"/>
      <w:lang w:val="zh-CN" w:eastAsia="zh-CN" w:bidi="ar-SA"/>
    </w:rPr>
  </w:style>
  <w:style w:type="paragraph" w:styleId="1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3">
    <w:name w:val="Title"/>
    <w:basedOn w:val="1"/>
    <w:next w:val="1"/>
    <w:link w:val="25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character" w:styleId="15">
    <w:name w:val="Hyperlink"/>
    <w:basedOn w:val="14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6">
    <w:name w:val="annotation reference"/>
    <w:basedOn w:val="14"/>
    <w:unhideWhenUsed/>
    <w:uiPriority w:val="99"/>
    <w:rPr>
      <w:sz w:val="21"/>
      <w:szCs w:val="21"/>
    </w:rPr>
  </w:style>
  <w:style w:type="table" w:styleId="18">
    <w:name w:val="Table Grid"/>
    <w:basedOn w:val="17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9">
    <w:name w:val="批注文字 Char"/>
    <w:basedOn w:val="14"/>
    <w:link w:val="7"/>
    <w:semiHidden/>
    <w:uiPriority w:val="99"/>
  </w:style>
  <w:style w:type="character" w:customStyle="1" w:styleId="20">
    <w:name w:val="批注主题 Char"/>
    <w:basedOn w:val="19"/>
    <w:link w:val="6"/>
    <w:semiHidden/>
    <w:uiPriority w:val="99"/>
    <w:rPr>
      <w:b/>
      <w:bCs/>
    </w:rPr>
  </w:style>
  <w:style w:type="character" w:customStyle="1" w:styleId="21">
    <w:name w:val="批注框文本 Char"/>
    <w:basedOn w:val="14"/>
    <w:link w:val="8"/>
    <w:semiHidden/>
    <w:uiPriority w:val="99"/>
    <w:rPr>
      <w:sz w:val="18"/>
      <w:szCs w:val="18"/>
    </w:rPr>
  </w:style>
  <w:style w:type="character" w:customStyle="1" w:styleId="22">
    <w:name w:val="页眉 Char"/>
    <w:basedOn w:val="14"/>
    <w:link w:val="10"/>
    <w:qFormat/>
    <w:uiPriority w:val="99"/>
    <w:rPr>
      <w:sz w:val="18"/>
      <w:szCs w:val="18"/>
    </w:rPr>
  </w:style>
  <w:style w:type="character" w:customStyle="1" w:styleId="23">
    <w:name w:val="页脚 Char"/>
    <w:basedOn w:val="14"/>
    <w:link w:val="9"/>
    <w:qFormat/>
    <w:uiPriority w:val="99"/>
    <w:rPr>
      <w:sz w:val="18"/>
      <w:szCs w:val="18"/>
    </w:rPr>
  </w:style>
  <w:style w:type="character" w:customStyle="1" w:styleId="24">
    <w:name w:val="标题 2 Char"/>
    <w:basedOn w:val="14"/>
    <w:link w:val="3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5">
    <w:name w:val="标题 Char"/>
    <w:basedOn w:val="14"/>
    <w:link w:val="13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paragraph" w:customStyle="1" w:styleId="26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paragraph" w:customStyle="1" w:styleId="27">
    <w:name w:val="Default"/>
    <w:uiPriority w:val="0"/>
    <w:pPr>
      <w:widowControl w:val="0"/>
      <w:autoSpaceDE w:val="0"/>
      <w:autoSpaceDN w:val="0"/>
      <w:adjustRightInd w:val="0"/>
    </w:pPr>
    <w:rPr>
      <w:rFonts w:ascii="华文中宋." w:eastAsia="华文中宋." w:cs="华文中宋." w:hAnsiTheme="minorHAnsi"/>
      <w:color w:val="000000"/>
      <w:kern w:val="0"/>
      <w:sz w:val="24"/>
      <w:szCs w:val="24"/>
      <w:lang w:val="en-US" w:eastAsia="zh-CN" w:bidi="ar-SA"/>
    </w:rPr>
  </w:style>
  <w:style w:type="character" w:customStyle="1" w:styleId="28">
    <w:name w:val="标题 1 Char"/>
    <w:basedOn w:val="14"/>
    <w:link w:val="2"/>
    <w:uiPriority w:val="9"/>
    <w:rPr>
      <w:b/>
      <w:bCs/>
      <w:kern w:val="44"/>
      <w:sz w:val="44"/>
      <w:szCs w:val="44"/>
    </w:rPr>
  </w:style>
  <w:style w:type="character" w:customStyle="1" w:styleId="29">
    <w:name w:val="标题 3 Char"/>
    <w:basedOn w:val="14"/>
    <w:link w:val="4"/>
    <w:uiPriority w:val="9"/>
    <w:rPr>
      <w:b/>
      <w:bCs/>
      <w:sz w:val="32"/>
      <w:szCs w:val="32"/>
    </w:rPr>
  </w:style>
  <w:style w:type="character" w:customStyle="1" w:styleId="30">
    <w:name w:val="标题 4 Char"/>
    <w:basedOn w:val="14"/>
    <w:link w:val="5"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31">
    <w:name w:val="副标题 Char"/>
    <w:basedOn w:val="14"/>
    <w:link w:val="11"/>
    <w:uiPriority w:val="0"/>
    <w:rPr>
      <w:rFonts w:ascii="Arial Unicode MS" w:hAnsi="Arial Unicode MS" w:eastAsia="Baskerville" w:cs="Arial Unicode MS"/>
      <w:color w:val="DC5921"/>
      <w:spacing w:val="6"/>
      <w:kern w:val="0"/>
      <w:sz w:val="64"/>
      <w:szCs w:val="64"/>
      <w:lang w:val="zh-CN"/>
    </w:rPr>
  </w:style>
  <w:style w:type="paragraph" w:customStyle="1" w:styleId="32">
    <w:name w:val="正文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line="360" w:lineRule="auto"/>
      <w:ind w:firstLine="540"/>
    </w:pPr>
    <w:rPr>
      <w:rFonts w:ascii="Baskerville" w:hAnsi="Baskerville" w:eastAsia="Baskerville" w:cs="Baskerville"/>
      <w:color w:val="000000"/>
      <w:kern w:val="0"/>
      <w:sz w:val="24"/>
      <w:szCs w:val="24"/>
      <w:lang w:val="en-US" w:eastAsia="zh-CN" w:bidi="ar-SA"/>
    </w:rPr>
  </w:style>
  <w:style w:type="paragraph" w:customStyle="1" w:styleId="33">
    <w:name w:val="自由格式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line="360" w:lineRule="auto"/>
      <w:ind w:firstLine="540"/>
    </w:pPr>
    <w:rPr>
      <w:rFonts w:hint="eastAsia" w:ascii="Arial Unicode MS" w:hAnsi="Arial Unicode MS" w:eastAsia="Baskerville" w:cs="Arial Unicode MS"/>
      <w:color w:val="000000"/>
      <w:kern w:val="0"/>
      <w:sz w:val="24"/>
      <w:szCs w:val="24"/>
      <w:lang w:val="zh-CN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DB80E3C-4A36-4C37-9854-E630F2052A6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TianYangJunHe</Company>
  <Pages>8</Pages>
  <Words>430</Words>
  <Characters>2455</Characters>
  <Lines>20</Lines>
  <Paragraphs>5</Paragraphs>
  <TotalTime>0</TotalTime>
  <ScaleCrop>false</ScaleCrop>
  <LinksUpToDate>false</LinksUpToDate>
  <CharactersWithSpaces>2880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2016-10-22T15:20:00Z</dcterms:created>
  <dc:creator>张宇</dc:creator>
  <cp:lastModifiedBy>chen</cp:lastModifiedBy>
  <cp:lastPrinted>2016-11-02T08:49:00Z</cp:lastPrinted>
  <dcterms:modified xsi:type="dcterms:W3CDTF">2016-11-04T02:41:39Z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